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processo-n.º-12342026"/>
    <w:p>
      <w:pPr>
        <w:pStyle w:val="Heading2"/>
      </w:pPr>
      <w:r>
        <w:t xml:space="preserve">Processo n.º 1234/2026</w:t>
      </w:r>
    </w:p>
    <w:p>
      <w:pPr>
        <w:pStyle w:val="FirstParagraph"/>
      </w:pPr>
      <w:r>
        <w:rPr>
          <w:b/>
          <w:bCs/>
        </w:rPr>
        <w:t xml:space="preserve">Vara da Família e dos Menores da Comarca de Lisboa</w:t>
      </w:r>
    </w:p>
    <w:p>
      <w:pPr>
        <w:pStyle w:val="BodyText"/>
      </w:pPr>
      <w:r>
        <w:rPr>
          <w:b/>
          <w:bCs/>
        </w:rPr>
        <w:t xml:space="preserve">Autor/Requerente:</w:t>
      </w:r>
      <w:r>
        <w:t xml:space="preserve"> </w:t>
      </w:r>
      <w:r>
        <w:t xml:space="preserve">Maria da Conceição Silva, residente em Rua das Flores, nº 12, 3.º Dto., 1150‑221 Lisboa, NIF 213 456 789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José António Pereira, residente em Avenida da República, nº 45, 4.º Esq., 4100‑258 Porto, NIF 312 654 987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 Dr.ª Ana Sofia Martins – OAB/Lisboa 12345, escritório na Rua da Prata, nº 8, 1150‑250 Lisboa</w:t>
      </w:r>
      <w:r>
        <w:br/>
      </w:r>
      <w:r>
        <w:t xml:space="preserve">- Dr. Luís Fernando Carvalho – OAB/Porto 67890, escritório na Rua de Santa Catarina, nº 22, 4000‑447 Porto</w:t>
      </w:r>
    </w:p>
    <w:p>
      <w:pPr>
        <w:pStyle w:val="BodyText"/>
      </w:pPr>
      <w:r>
        <w:rPr>
          <w:b/>
          <w:bCs/>
        </w:rPr>
        <w:t xml:space="preserve">Juiz:</w:t>
      </w:r>
      <w:r>
        <w:t xml:space="preserve"> </w:t>
      </w:r>
      <w:r>
        <w:t xml:space="preserve">Juiz de Direito da Vara da Família e dos Menores da Comarca de Lisboa</w:t>
      </w:r>
    </w:p>
    <w:p>
      <w:pPr>
        <w:pStyle w:val="BodyText"/>
      </w:pPr>
      <w:r>
        <w:rPr>
          <w:b/>
          <w:bCs/>
        </w:rPr>
        <w:t xml:space="preserve">Data da Audiência:</w:t>
      </w:r>
      <w:r>
        <w:t xml:space="preserve"> </w:t>
      </w:r>
      <w:r>
        <w:t xml:space="preserve">15 de janeiro de 2026</w:t>
      </w:r>
    </w:p>
    <w:p>
      <w:r>
        <w:pict>
          <v:rect style="width:0;height:1.5pt" o:hralign="center" o:hrstd="t" o:hr="t"/>
        </w:pict>
      </w:r>
    </w:p>
    <w:bookmarkEnd w:id="9"/>
    <w:bookmarkStart w:id="15" w:name="resumo-das-alegações-orais-parte-autora"/>
    <w:p>
      <w:pPr>
        <w:pStyle w:val="Heading1"/>
      </w:pPr>
      <w:r>
        <w:t xml:space="preserve">Resumo das Alegações Orais – Parte Autora</w:t>
      </w:r>
    </w:p>
    <w:bookmarkStart w:id="10" w:name="introdução"/>
    <w:p>
      <w:pPr>
        <w:pStyle w:val="Heading3"/>
      </w:pPr>
      <w:r>
        <w:t xml:space="preserve">1. Introdução</w:t>
      </w:r>
    </w:p>
    <w:p>
      <w:pPr>
        <w:pStyle w:val="FirstParagraph"/>
      </w:pPr>
      <w:r>
        <w:t xml:space="preserve">A parte autora compareceu à audiência designada por este Juízo para expor, de forma oral e sucinta, os factos que motivam o pedido de</w:t>
      </w:r>
      <w:r>
        <w:t xml:space="preserve"> </w:t>
      </w:r>
      <w:r>
        <w:rPr>
          <w:b/>
          <w:bCs/>
        </w:rPr>
        <w:t xml:space="preserve">alteração da regulação das responsabilidades parentais</w:t>
      </w:r>
      <w:r>
        <w:t xml:space="preserve"> </w:t>
      </w:r>
      <w:r>
        <w:t xml:space="preserve">da menor Ana Sofia Pereira, nascida a 20 de junho de 2018. As alegações foram apresentadas pela advogada</w:t>
      </w:r>
      <w:r>
        <w:t xml:space="preserve"> </w:t>
      </w:r>
      <w:r>
        <w:rPr>
          <w:b/>
          <w:bCs/>
        </w:rPr>
        <w:t xml:space="preserve">Dr.ª Ana Sofia Martins</w:t>
      </w:r>
      <w:r>
        <w:t xml:space="preserve">, em nome da requerente, e encontram‑se em plena conformidade com o disposto nos artigos 1 .º, 2 .º e 3 .º do</w:t>
      </w:r>
      <w:r>
        <w:t xml:space="preserve"> </w:t>
      </w:r>
      <w:r>
        <w:rPr>
          <w:b/>
          <w:bCs/>
        </w:rPr>
        <w:t xml:space="preserve">Código Civil</w:t>
      </w:r>
      <w:r>
        <w:t xml:space="preserve">, bem como nos artigos 562.º a 568.º do</w:t>
      </w:r>
      <w:r>
        <w:t xml:space="preserve"> </w:t>
      </w:r>
      <w:r>
        <w:rPr>
          <w:b/>
          <w:bCs/>
        </w:rPr>
        <w:t xml:space="preserve">Código de Processo Civil</w:t>
      </w:r>
      <w:r>
        <w:t xml:space="preserve">.</w:t>
      </w:r>
    </w:p>
    <w:bookmarkEnd w:id="10"/>
    <w:bookmarkStart w:id="11" w:name="factos-relevantes"/>
    <w:p>
      <w:pPr>
        <w:pStyle w:val="Heading3"/>
      </w:pPr>
      <w:r>
        <w:t xml:space="preserve">2. Factos Relevantes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Mudança unilateral de residência do pai</w:t>
      </w:r>
      <w:r>
        <w:t xml:space="preserve"> </w:t>
      </w:r>
      <w:r>
        <w:t xml:space="preserve">– Em 30 de outubro de 2025, o réu mudou‑se de Lisboa para a cidade de Faro (Algarve), sem prévia comunicação nem autorização judicial, violando o</w:t>
      </w:r>
      <w:r>
        <w:t xml:space="preserve"> </w:t>
      </w:r>
      <w:r>
        <w:rPr>
          <w:b/>
          <w:bCs/>
        </w:rPr>
        <w:t xml:space="preserve">regime de residência habitual da menor</w:t>
      </w:r>
      <w:r>
        <w:t xml:space="preserve"> </w:t>
      </w:r>
      <w:r>
        <w:t xml:space="preserve">fixado na sentença de 10 de março de 2022 (processo n.º 567/2022).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Incumprimento do regime de visitas</w:t>
      </w:r>
      <w:r>
        <w:t xml:space="preserve"> </w:t>
      </w:r>
      <w:r>
        <w:t xml:space="preserve">– Desde a referida mudança, o réu tem deixado de cumprir as visitas quinzenais previstas (sábado, das 10h às 16h), apresentando justificações frágeis (ex.: “trabalho de fim de semana”) e, em várias ocasiões, não comparecendo nem a comunicar a ausência.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Instabilidade emocional da menor</w:t>
      </w:r>
      <w:r>
        <w:t xml:space="preserve"> </w:t>
      </w:r>
      <w:r>
        <w:t xml:space="preserve">– A menor tem apresentado sinais de ansiedade, dificuldade de concentração escolar e episódios de choro frequente, conforme relatado pelos professores da Escola Básica de Lisboa (relatório anexo) e pelo psicólogo infantil Dr. João Miguel Ribeiro (parecer de 5 de dezembro de 2025). Estes factos são atribuíveis, na perspetiva da autora, à ruptura do vínculo familiar e à incerteza gerada pela mudança de residência do pai.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Desrespeito das obrigações parentais</w:t>
      </w:r>
      <w:r>
        <w:t xml:space="preserve"> </w:t>
      </w:r>
      <w:r>
        <w:t xml:space="preserve">– O réu tem, ainda, recusado-se a contribuir para as despesas extraordinárias da menor (atividades extracurriculares, material escolar) apesar de ter sido condenado a pagar uma pensão mensal de € 250,00, valor que tem sido pago apenas de forma irregular.</w:t>
      </w:r>
    </w:p>
    <w:bookmarkEnd w:id="11"/>
    <w:bookmarkStart w:id="12" w:name="fundamentação-jurídica"/>
    <w:p>
      <w:pPr>
        <w:pStyle w:val="Heading3"/>
      </w:pPr>
      <w:r>
        <w:t xml:space="preserve">3. Fundamentação Jurídica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 1875.º do Código Civil</w:t>
      </w:r>
      <w:r>
        <w:t xml:space="preserve"> </w:t>
      </w:r>
      <w:r>
        <w:t xml:space="preserve">– O melhor interesse da criança impõe que a guarda seja fixada de modo a garantir a estabilidade, segurança e desenvolvimento saudável da menor.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 1 .º do CPC</w:t>
      </w:r>
      <w:r>
        <w:t xml:space="preserve"> </w:t>
      </w:r>
      <w:r>
        <w:t xml:space="preserve">– O processo tem por objetivo a tutela dos direitos fundamentais, nomeadamente o direito à proteção da infância.</w:t>
      </w:r>
      <w:r>
        <w:br/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Artigos 562.º a 564.º do CPC</w:t>
      </w:r>
      <w:r>
        <w:t xml:space="preserve"> </w:t>
      </w:r>
      <w:r>
        <w:t xml:space="preserve">– O requerente tem direito a produzir prova testemunhal e pericial, bem como a solicitar medida cautelar de alteração da guarda, quando demonstrada a urgência e o risco para o menor.</w:t>
      </w:r>
    </w:p>
    <w:bookmarkEnd w:id="12"/>
    <w:bookmarkStart w:id="13" w:name="pedidos-da-parte-autora"/>
    <w:p>
      <w:pPr>
        <w:pStyle w:val="Heading3"/>
      </w:pPr>
      <w:r>
        <w:t xml:space="preserve">4. Pedidos da Parte Autora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131"/>
        <w:gridCol w:w="2262"/>
        <w:gridCol w:w="452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  <w:tc>
          <w:tcPr/>
          <w:p>
            <w:pPr>
              <w:pStyle w:val="Compact"/>
            </w:pPr>
            <w:r>
              <w:t xml:space="preserve">Fundamentação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Alteração da guarda</w:t>
            </w:r>
            <w:r>
              <w:t xml:space="preserve"> </w:t>
            </w:r>
            <w:r>
              <w:t xml:space="preserve">para</w:t>
            </w:r>
            <w:r>
              <w:t xml:space="preserve"> </w:t>
            </w:r>
            <w:r>
              <w:rPr>
                <w:b/>
                <w:bCs/>
              </w:rPr>
              <w:t xml:space="preserve">guarda exclusiva da mãe</w:t>
            </w:r>
            <w:r>
              <w:t xml:space="preserve">, com a fixação da residência habitual da menor em Lisboa, na casa da requerente.</w:t>
            </w:r>
          </w:p>
        </w:tc>
        <w:tc>
          <w:tcPr/>
          <w:p>
            <w:pPr>
              <w:pStyle w:val="Compact"/>
            </w:pPr>
            <w:r>
              <w:t xml:space="preserve">Art. 1875.º CC – melhor interesse da criança; risco de instabilidade decorrente da residência em Faro.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Visitas supervisionadas</w:t>
            </w:r>
            <w:r>
              <w:t xml:space="preserve"> </w:t>
            </w:r>
            <w:r>
              <w:t xml:space="preserve">ao pai, a realizar‑se duas vezes por mês, nas instalações do Centro de Mediação Familiar de Lisboa, com acompanhamento de psicólogo.</w:t>
            </w:r>
          </w:p>
        </w:tc>
        <w:tc>
          <w:tcPr/>
          <w:p>
            <w:pPr>
              <w:pStyle w:val="Compact"/>
            </w:pPr>
            <w:r>
              <w:t xml:space="preserve">Necessidade de preservar o vínculo paterno de forma segura, conforme parecer do Dr. Ribeiro.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Fixação de pensão de alimentos</w:t>
            </w:r>
            <w:r>
              <w:t xml:space="preserve"> </w:t>
            </w:r>
            <w:r>
              <w:t xml:space="preserve">mensal no valor de</w:t>
            </w:r>
            <w:r>
              <w:t xml:space="preserve"> </w:t>
            </w:r>
            <w:r>
              <w:rPr>
                <w:b/>
                <w:bCs/>
              </w:rPr>
              <w:t xml:space="preserve">€ 300,00</w:t>
            </w:r>
            <w:r>
              <w:t xml:space="preserve">, a ser paga até ao dia 5 de cada mês, com atualização anual ao índice de preços ao consumidor.</w:t>
            </w:r>
          </w:p>
        </w:tc>
        <w:tc>
          <w:tcPr/>
          <w:p>
            <w:pPr>
              <w:pStyle w:val="Compact"/>
            </w:pPr>
            <w:r>
              <w:t xml:space="preserve">Incumprimento das obrigações alimentares e aumento das despesas da menor.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Medida cautelar de suspensão</w:t>
            </w:r>
            <w:r>
              <w:t xml:space="preserve"> </w:t>
            </w:r>
            <w:r>
              <w:t xml:space="preserve">das visitas não supervisionadas até decisão final, nos termos do artigo 563.º do CPC.</w:t>
            </w:r>
          </w:p>
        </w:tc>
        <w:tc>
          <w:tcPr/>
          <w:p>
            <w:pPr>
              <w:pStyle w:val="Compact"/>
            </w:pPr>
            <w:r>
              <w:t xml:space="preserve">Garantia da segurança emocional da menor.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Custas processuais</w:t>
            </w:r>
            <w:r>
              <w:t xml:space="preserve"> </w:t>
            </w:r>
            <w:r>
              <w:t xml:space="preserve">e</w:t>
            </w:r>
            <w:r>
              <w:t xml:space="preserve"> </w:t>
            </w:r>
            <w:r>
              <w:rPr>
                <w:b/>
                <w:bCs/>
              </w:rPr>
              <w:t xml:space="preserve">honorários de advogado</w:t>
            </w:r>
            <w:r>
              <w:t xml:space="preserve"> </w:t>
            </w:r>
            <w:r>
              <w:t xml:space="preserve">a cargo do réu, nos termos do artigo 84.º do CPC.</w:t>
            </w:r>
          </w:p>
        </w:tc>
        <w:tc>
          <w:tcPr/>
          <w:p>
            <w:pPr>
              <w:pStyle w:val="Compact"/>
            </w:pPr>
            <w:r>
              <w:t xml:space="preserve">Responsabilidade do réu pelos atos que geraram o litígio.</w:t>
            </w:r>
          </w:p>
        </w:tc>
      </w:tr>
    </w:tbl>
    <w:bookmarkEnd w:id="13"/>
    <w:bookmarkStart w:id="14" w:name="conclusão"/>
    <w:p>
      <w:pPr>
        <w:pStyle w:val="Heading3"/>
      </w:pPr>
      <w:r>
        <w:t xml:space="preserve">5. Conclusão</w:t>
      </w:r>
    </w:p>
    <w:p>
      <w:pPr>
        <w:pStyle w:val="FirstParagraph"/>
      </w:pPr>
      <w:r>
        <w:t xml:space="preserve">Em síntese, a parte autora requer a</w:t>
      </w:r>
      <w:r>
        <w:t xml:space="preserve"> </w:t>
      </w:r>
      <w:r>
        <w:rPr>
          <w:b/>
          <w:bCs/>
        </w:rPr>
        <w:t xml:space="preserve">revisão integral da regulação das responsabilidades parentais</w:t>
      </w:r>
      <w:r>
        <w:t xml:space="preserve">, com a adoção de medidas que assegurem a estabilidade emocional e física da menor Ana Sofia Pereira. A autora sublinha que a presente alteração não tem como objetivo excluir o pai da vida da criança, mas sim</w:t>
      </w:r>
      <w:r>
        <w:t xml:space="preserve"> </w:t>
      </w:r>
      <w:r>
        <w:rPr>
          <w:b/>
          <w:bCs/>
        </w:rPr>
        <w:t xml:space="preserve">proteger o seu bem‑estar</w:t>
      </w:r>
      <w:r>
        <w:t xml:space="preserve">, permitindo que o vínculo paterno seja mantido sob condições que evitem novos prejuízos.</w:t>
      </w:r>
    </w:p>
    <w:p>
      <w:pPr>
        <w:pStyle w:val="BodyText"/>
      </w:pPr>
      <w:r>
        <w:t xml:space="preserve">A autora coloca‑se à disposição deste Juízo para a produção de prova testemunhal (professores da Escola Básica de Lisboa, vizinhos) e pericial (psicólogo infantil), bem como para a designação de um mediador familiar, caso este entenda ser benéfico para a solução do conflito.</w:t>
      </w:r>
    </w:p>
    <w:p>
      <w:pPr>
        <w:pStyle w:val="BodyText"/>
      </w:pPr>
      <w:r>
        <w:rPr>
          <w:b/>
          <w:bCs/>
        </w:rPr>
        <w:t xml:space="preserve">Lisboa, 15 de janeiro de 2026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Dr.ª Ana Sofia Martins</w:t>
      </w:r>
      <w:r>
        <w:br/>
      </w:r>
      <w:r>
        <w:t xml:space="preserve">OAB/Lisboa 12345</w:t>
      </w:r>
    </w:p>
    <w:p>
      <w:pPr>
        <w:pStyle w:val="BodyText"/>
      </w:pPr>
      <w:r>
        <w:rPr>
          <w:b/>
          <w:bCs/>
        </w:rPr>
        <w:t xml:space="preserve">Dr. Luís Fernando Carvalho</w:t>
      </w:r>
      <w:r>
        <w:br/>
      </w:r>
      <w:r>
        <w:t xml:space="preserve">OAB/Porto 67890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2026-02-22T18:47:58Z</dcterms:created>
  <dcterms:modified xsi:type="dcterms:W3CDTF">2026-02-22T18:47:58Z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